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CC" w:rsidRDefault="00252D1D">
      <w:pPr>
        <w:pStyle w:val="normal"/>
        <w:jc w:val="center"/>
        <w:rPr>
          <w:rFonts w:ascii="Times New Roman" w:eastAsia="Times New Roman" w:hAnsi="Times New Roman" w:cs="Times New Roman"/>
          <w:b/>
          <w:sz w:val="29"/>
          <w:szCs w:val="29"/>
          <w:highlight w:val="white"/>
        </w:rPr>
      </w:pPr>
      <w:r>
        <w:rPr>
          <w:rFonts w:ascii="Times New Roman" w:eastAsia="Times New Roman" w:hAnsi="Times New Roman" w:cs="Times New Roman"/>
          <w:b/>
          <w:sz w:val="29"/>
          <w:szCs w:val="29"/>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B972CC" w:rsidRDefault="00252D1D">
      <w:pPr>
        <w:pStyle w:val="normal"/>
        <w:rPr>
          <w:rFonts w:ascii="Times New Roman" w:eastAsia="Times New Roman" w:hAnsi="Times New Roman" w:cs="Times New Roman"/>
          <w:sz w:val="29"/>
          <w:szCs w:val="29"/>
          <w:highlight w:val="white"/>
        </w:rPr>
      </w:pPr>
      <w:r>
        <w:rPr>
          <w:rFonts w:ascii="Times New Roman" w:eastAsia="Times New Roman" w:hAnsi="Times New Roman" w:cs="Times New Roman"/>
          <w:sz w:val="29"/>
          <w:szCs w:val="29"/>
          <w:highlight w:val="white"/>
        </w:rPr>
        <w:t xml:space="preserve"> </w:t>
      </w:r>
    </w:p>
    <w:p w:rsidR="00B972CC" w:rsidRDefault="00250B33">
      <w:pPr>
        <w:pStyle w:val="normal"/>
        <w:rPr>
          <w:rFonts w:ascii="Times New Roman" w:eastAsia="Times New Roman" w:hAnsi="Times New Roman" w:cs="Times New Roman"/>
          <w:sz w:val="28"/>
          <w:szCs w:val="28"/>
          <w:highlight w:val="white"/>
        </w:rPr>
      </w:pPr>
      <w:r>
        <w:rPr>
          <w:rFonts w:ascii="Times New Roman" w:eastAsia="Times New Roman" w:hAnsi="Times New Roman" w:cs="Times New Roman"/>
          <w:sz w:val="29"/>
          <w:szCs w:val="29"/>
          <w:highlight w:val="white"/>
        </w:rPr>
        <w:t>Білім беру ұйымы</w:t>
      </w:r>
      <w:r>
        <w:rPr>
          <w:rFonts w:ascii="Times New Roman" w:eastAsia="Times New Roman" w:hAnsi="Times New Roman" w:cs="Times New Roman"/>
          <w:sz w:val="29"/>
          <w:szCs w:val="29"/>
          <w:highlight w:val="white"/>
          <w:lang w:val="kk-KZ"/>
        </w:rPr>
        <w:t xml:space="preserve">: «Қызғалдақ» бөбекжай-бақшасы. </w:t>
      </w:r>
      <w:r>
        <w:rPr>
          <w:rFonts w:ascii="Times New Roman" w:eastAsia="Times New Roman" w:hAnsi="Times New Roman" w:cs="Times New Roman"/>
          <w:sz w:val="29"/>
          <w:szCs w:val="29"/>
          <w:highlight w:val="white"/>
        </w:rPr>
        <w:br/>
        <w:t xml:space="preserve">Топ: </w:t>
      </w:r>
      <w:r>
        <w:rPr>
          <w:rFonts w:ascii="Times New Roman" w:eastAsia="Times New Roman" w:hAnsi="Times New Roman" w:cs="Times New Roman"/>
          <w:sz w:val="29"/>
          <w:szCs w:val="29"/>
          <w:highlight w:val="white"/>
          <w:lang w:val="kk-KZ"/>
        </w:rPr>
        <w:t xml:space="preserve"> «Балапан» </w:t>
      </w:r>
      <w:r>
        <w:rPr>
          <w:rFonts w:ascii="Times New Roman" w:eastAsia="Times New Roman" w:hAnsi="Times New Roman" w:cs="Times New Roman"/>
          <w:sz w:val="29"/>
          <w:szCs w:val="29"/>
          <w:highlight w:val="white"/>
        </w:rPr>
        <w:t>кіші</w:t>
      </w:r>
      <w:r w:rsidR="00252D1D">
        <w:rPr>
          <w:rFonts w:ascii="Times New Roman" w:eastAsia="Times New Roman" w:hAnsi="Times New Roman" w:cs="Times New Roman"/>
          <w:sz w:val="29"/>
          <w:szCs w:val="29"/>
          <w:highlight w:val="white"/>
        </w:rPr>
        <w:t xml:space="preserve"> тобы</w:t>
      </w:r>
      <w:r w:rsidR="00252D1D">
        <w:rPr>
          <w:rFonts w:ascii="Times New Roman" w:eastAsia="Times New Roman" w:hAnsi="Times New Roman" w:cs="Times New Roman"/>
          <w:sz w:val="29"/>
          <w:szCs w:val="29"/>
          <w:highlight w:val="white"/>
        </w:rPr>
        <w:br/>
        <w:t>Балалардың жасы: 2 жастан.</w:t>
      </w:r>
      <w:r w:rsidR="00252D1D">
        <w:rPr>
          <w:rFonts w:ascii="Times New Roman" w:eastAsia="Times New Roman" w:hAnsi="Times New Roman" w:cs="Times New Roman"/>
          <w:sz w:val="29"/>
          <w:szCs w:val="29"/>
          <w:highlight w:val="white"/>
        </w:rPr>
        <w:br/>
      </w:r>
      <w:r w:rsidR="00243BE7">
        <w:rPr>
          <w:rFonts w:ascii="Times New Roman" w:eastAsia="Times New Roman" w:hAnsi="Times New Roman" w:cs="Times New Roman"/>
          <w:sz w:val="28"/>
          <w:szCs w:val="28"/>
          <w:highlight w:val="white"/>
        </w:rPr>
        <w:t>Жоспардың құрылу кезеңі: қыр</w:t>
      </w:r>
      <w:r w:rsidR="00243BE7">
        <w:rPr>
          <w:rFonts w:ascii="Times New Roman" w:eastAsia="Times New Roman" w:hAnsi="Times New Roman" w:cs="Times New Roman"/>
          <w:sz w:val="28"/>
          <w:szCs w:val="28"/>
          <w:highlight w:val="white"/>
          <w:lang w:val="kk-KZ"/>
        </w:rPr>
        <w:t>к</w:t>
      </w:r>
      <w:r w:rsidR="00252D1D">
        <w:rPr>
          <w:rFonts w:ascii="Times New Roman" w:eastAsia="Times New Roman" w:hAnsi="Times New Roman" w:cs="Times New Roman"/>
          <w:sz w:val="28"/>
          <w:szCs w:val="28"/>
          <w:highlight w:val="white"/>
        </w:rPr>
        <w:t>үйек айы, 2023-2024 оқу жылы.</w:t>
      </w:r>
    </w:p>
    <w:p w:rsidR="00B972CC" w:rsidRDefault="00B972CC">
      <w:pPr>
        <w:pStyle w:val="normal"/>
      </w:pPr>
    </w:p>
    <w:tbl>
      <w:tblPr>
        <w:tblStyle w:val="a5"/>
        <w:tblW w:w="1390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95"/>
        <w:gridCol w:w="2610"/>
        <w:gridCol w:w="9600"/>
      </w:tblGrid>
      <w:tr w:rsidR="00B972CC">
        <w:tc>
          <w:tcPr>
            <w:tcW w:w="169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B972CC" w:rsidRDefault="00252D1D">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1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rsidR="00B972CC" w:rsidRDefault="00252D1D">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60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rsidR="00B972CC" w:rsidRDefault="00252D1D">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B972CC">
        <w:tc>
          <w:tcPr>
            <w:tcW w:w="169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B972CC" w:rsidRDefault="00243BE7">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w:t>
            </w:r>
            <w:r>
              <w:rPr>
                <w:rFonts w:ascii="Times New Roman" w:eastAsia="Times New Roman" w:hAnsi="Times New Roman" w:cs="Times New Roman"/>
                <w:sz w:val="28"/>
                <w:szCs w:val="28"/>
                <w:lang w:val="kk-KZ"/>
              </w:rPr>
              <w:t>к</w:t>
            </w:r>
            <w:r w:rsidR="00252D1D">
              <w:rPr>
                <w:rFonts w:ascii="Times New Roman" w:eastAsia="Times New Roman" w:hAnsi="Times New Roman" w:cs="Times New Roman"/>
                <w:sz w:val="28"/>
                <w:szCs w:val="28"/>
              </w:rPr>
              <w:t>үйек</w:t>
            </w:r>
          </w:p>
        </w:tc>
        <w:tc>
          <w:tcPr>
            <w:tcW w:w="26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Дене шынықтыру</w:t>
            </w:r>
          </w:p>
        </w:tc>
        <w:tc>
          <w:tcPr>
            <w:tcW w:w="96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Қолдың білектерін, иық белдеуінің бұлшық еттерін дамытуға және нығайтуға </w:t>
            </w:r>
            <w:r>
              <w:rPr>
                <w:rFonts w:ascii="Times New Roman" w:eastAsia="Times New Roman" w:hAnsi="Times New Roman" w:cs="Times New Roman"/>
                <w:sz w:val="28"/>
                <w:szCs w:val="28"/>
              </w:rPr>
              <w:lastRenderedPageBreak/>
              <w:t>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B972CC" w:rsidRDefault="00252D1D">
            <w:pPr>
              <w:pStyle w:val="normal"/>
              <w:widowControl w:val="0"/>
              <w:rPr>
                <w:sz w:val="20"/>
                <w:szCs w:val="20"/>
              </w:rPr>
            </w:pPr>
            <w:r>
              <w:rPr>
                <w:rFonts w:ascii="Times New Roman" w:eastAsia="Times New Roman" w:hAnsi="Times New Roman" w:cs="Times New Roman"/>
                <w:sz w:val="28"/>
                <w:szCs w:val="28"/>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Сөйлеуді дамыту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қабілетінің дамуына ықпал ету.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қорды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сөздік қорын:</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B972CC" w:rsidRDefault="00252D1D">
            <w:pPr>
              <w:pStyle w:val="normal"/>
              <w:widowControl w:val="0"/>
              <w:rPr>
                <w:sz w:val="20"/>
                <w:szCs w:val="20"/>
              </w:rPr>
            </w:pPr>
            <w:r>
              <w:rPr>
                <w:rFonts w:ascii="Times New Roman" w:eastAsia="Times New Roman" w:hAnsi="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Көркем әдебиет</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B972CC" w:rsidRDefault="00252D1D">
            <w:pPr>
              <w:pStyle w:val="normal"/>
              <w:widowControl w:val="0"/>
              <w:rPr>
                <w:sz w:val="20"/>
                <w:szCs w:val="20"/>
              </w:rPr>
            </w:pPr>
            <w:r>
              <w:rPr>
                <w:rFonts w:ascii="Times New Roman" w:eastAsia="Times New Roman" w:hAnsi="Times New Roman" w:cs="Times New Roman"/>
                <w:sz w:val="28"/>
                <w:szCs w:val="28"/>
              </w:rPr>
              <w:t>Балалардың жастарына сәйкес көркем шығармалар оқу.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Сенсорика</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құралдарды қолдану дағдыларын қалыптастыру, ауызша нұсқау мен үлгіге сүйене отырып, тапсырмаларды орындауды, қимылдардың</w:t>
            </w:r>
          </w:p>
          <w:p w:rsidR="00B972CC" w:rsidRDefault="00252D1D">
            <w:pPr>
              <w:pStyle w:val="normal"/>
              <w:widowControl w:val="0"/>
              <w:rPr>
                <w:sz w:val="20"/>
                <w:szCs w:val="20"/>
              </w:rPr>
            </w:pPr>
            <w:r>
              <w:rPr>
                <w:rFonts w:ascii="Times New Roman" w:eastAsia="Times New Roman" w:hAnsi="Times New Roman" w:cs="Times New Roman"/>
                <w:sz w:val="28"/>
                <w:szCs w:val="28"/>
              </w:rPr>
              <w:t>үйлесімділігін, қолдың ұсақ бұлшық еттерін, «көз бен қолдың» сенсомоторлық кеңістіктік үйлесімділігін дамыту.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құрдастарымен және ересектермен өзара әрекет етуі және бірлескен ойындарға қатысуы үшін жағдайлар жасау.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 Есімін атағанда жауап беру, өзін айнадан және фотосуреттерден тану.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 әлемі.</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табиғат пен табиғат құбылыстарына қызығушылықтарын қалыптастыру. Қоршаған ортадағы өсімдіктермен таныстыру. Сыртқы белгілері</w:t>
            </w:r>
          </w:p>
          <w:p w:rsidR="00B972CC" w:rsidRDefault="00252D1D">
            <w:pPr>
              <w:pStyle w:val="normal"/>
              <w:widowControl w:val="0"/>
              <w:rPr>
                <w:sz w:val="20"/>
                <w:szCs w:val="20"/>
              </w:rPr>
            </w:pPr>
            <w:r>
              <w:rPr>
                <w:rFonts w:ascii="Times New Roman" w:eastAsia="Times New Roman" w:hAnsi="Times New Roman" w:cs="Times New Roman"/>
                <w:sz w:val="28"/>
                <w:szCs w:val="28"/>
              </w:rPr>
              <w:t>бойынша көгөністер (қызанақ, қияр, картоп) мен жемістерді (алма, алмұрт) ажырату.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Құрастыру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материалға ұқыпты қарауға, оны дұрыс қолдана білуге үйрету;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құрылыс материалдарынан құрастыруға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rsidR="00B972CC" w:rsidRDefault="00252D1D">
            <w:pPr>
              <w:pStyle w:val="normal"/>
              <w:widowControl w:val="0"/>
              <w:rPr>
                <w:sz w:val="20"/>
                <w:szCs w:val="20"/>
              </w:rPr>
            </w:pPr>
            <w:r>
              <w:rPr>
                <w:rFonts w:ascii="Times New Roman" w:eastAsia="Times New Roman" w:hAnsi="Times New Roman" w:cs="Times New Roman"/>
                <w:sz w:val="28"/>
                <w:szCs w:val="28"/>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Сурет салу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 өмірінің қауіпсіздігі туралы алғашқы ұғымдарды қалыптастыру, </w:t>
            </w:r>
            <w:r>
              <w:rPr>
                <w:rFonts w:ascii="Times New Roman" w:eastAsia="Times New Roman" w:hAnsi="Times New Roman" w:cs="Times New Roman"/>
                <w:sz w:val="28"/>
                <w:szCs w:val="28"/>
              </w:rPr>
              <w:lastRenderedPageBreak/>
              <w:t>заттармен қауіпсіз әрекет ету ережелерімен таныстыру.</w:t>
            </w:r>
          </w:p>
          <w:p w:rsidR="00B972CC" w:rsidRDefault="00252D1D">
            <w:pPr>
              <w:pStyle w:val="normal"/>
              <w:widowControl w:val="0"/>
              <w:rPr>
                <w:sz w:val="20"/>
                <w:szCs w:val="20"/>
              </w:rPr>
            </w:pPr>
            <w:r>
              <w:rPr>
                <w:rFonts w:ascii="Times New Roman" w:eastAsia="Times New Roman" w:hAnsi="Times New Roman" w:cs="Times New Roman"/>
                <w:sz w:val="28"/>
                <w:szCs w:val="28"/>
              </w:rPr>
              <w:t>Балалардың бейнелеу әрекетіне деген қызығушылығын ояту, көркемдік қабылдауларын дамыту.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Мүсіндеу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rsidR="00B972CC" w:rsidRDefault="00252D1D">
            <w:pPr>
              <w:pStyle w:val="normal"/>
              <w:widowControl w:val="0"/>
              <w:rPr>
                <w:sz w:val="20"/>
                <w:szCs w:val="20"/>
              </w:rPr>
            </w:pPr>
            <w:r>
              <w:rPr>
                <w:rFonts w:ascii="Times New Roman" w:eastAsia="Times New Roman" w:hAnsi="Times New Roman" w:cs="Times New Roman"/>
                <w:sz w:val="28"/>
                <w:szCs w:val="28"/>
              </w:rPr>
              <w:t>Балалардың сазбалшық, ермексаз және оның қасиеттері туралы білімдерін қалыптастыру, сазбалшықты дұрыс қолдануды жетілдіру.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Жапсыру</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rsidR="00B972CC" w:rsidRDefault="00252D1D">
            <w:pPr>
              <w:pStyle w:val="normal"/>
              <w:widowControl w:val="0"/>
              <w:rPr>
                <w:sz w:val="20"/>
                <w:szCs w:val="20"/>
              </w:rPr>
            </w:pPr>
            <w:r>
              <w:rPr>
                <w:rFonts w:ascii="Times New Roman" w:eastAsia="Times New Roman" w:hAnsi="Times New Roman" w:cs="Times New Roman"/>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B972CC">
        <w:tc>
          <w:tcPr>
            <w:tcW w:w="16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972CC" w:rsidRDefault="00B972CC">
            <w:pPr>
              <w:pStyle w:val="normal"/>
              <w:widowControl w:val="0"/>
              <w:pBdr>
                <w:top w:val="nil"/>
                <w:left w:val="nil"/>
                <w:bottom w:val="nil"/>
                <w:right w:val="nil"/>
                <w:between w:val="nil"/>
              </w:pBdr>
              <w:spacing w:line="240" w:lineRule="auto"/>
            </w:pPr>
          </w:p>
        </w:tc>
        <w:tc>
          <w:tcPr>
            <w:tcW w:w="2610"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972CC" w:rsidRDefault="00252D1D">
            <w:pPr>
              <w:pStyle w:val="normal"/>
              <w:widowControl w:val="0"/>
              <w:rPr>
                <w:sz w:val="20"/>
                <w:szCs w:val="20"/>
              </w:rPr>
            </w:pPr>
            <w:r>
              <w:rPr>
                <w:rFonts w:ascii="Times New Roman" w:eastAsia="Times New Roman" w:hAnsi="Times New Roman" w:cs="Times New Roman"/>
                <w:sz w:val="28"/>
                <w:szCs w:val="28"/>
              </w:rPr>
              <w:t>Музыка</w:t>
            </w:r>
          </w:p>
        </w:tc>
        <w:tc>
          <w:tcPr>
            <w:tcW w:w="960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музыкаға, ән айтуға, қарапайым аспаптарда ойнауға шығармашылық </w:t>
            </w:r>
            <w:r>
              <w:rPr>
                <w:rFonts w:ascii="Times New Roman" w:eastAsia="Times New Roman" w:hAnsi="Times New Roman" w:cs="Times New Roman"/>
                <w:sz w:val="28"/>
                <w:szCs w:val="28"/>
              </w:rPr>
              <w:lastRenderedPageBreak/>
              <w:t>қызығушылықты қалыптастыру;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музыкалық шығармашылыққа, әсемдікті сезінуге тәрбиелеу;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музыка мен әнді қабылдауға баулу;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B972CC" w:rsidRDefault="00252D1D">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B972CC" w:rsidRDefault="00252D1D">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B972CC" w:rsidRDefault="00252D1D">
            <w:pPr>
              <w:pStyle w:val="normal"/>
              <w:widowControl w:val="0"/>
              <w:rPr>
                <w:sz w:val="20"/>
                <w:szCs w:val="20"/>
              </w:rPr>
            </w:pPr>
            <w:r>
              <w:rPr>
                <w:rFonts w:ascii="Times New Roman" w:eastAsia="Times New Roman" w:hAnsi="Times New Roman" w:cs="Times New Roman"/>
                <w:sz w:val="28"/>
                <w:szCs w:val="28"/>
              </w:rPr>
              <w:t>Музыканың сүйемелдеуімен топпен және шеңбер бойынша қол ұстасып жүру және жүгіру дағдыларын қалыптастыру.</w:t>
            </w:r>
          </w:p>
        </w:tc>
      </w:tr>
    </w:tbl>
    <w:p w:rsidR="00B972CC" w:rsidRDefault="00B972CC">
      <w:pPr>
        <w:pStyle w:val="normal"/>
      </w:pPr>
    </w:p>
    <w:sectPr w:rsidR="00B972CC" w:rsidSect="00694914">
      <w:pgSz w:w="16834" w:h="11909" w:orient="landscape"/>
      <w:pgMar w:top="709"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B20" w:rsidRDefault="00D13B20" w:rsidP="00694914">
      <w:pPr>
        <w:spacing w:line="240" w:lineRule="auto"/>
      </w:pPr>
      <w:r>
        <w:separator/>
      </w:r>
    </w:p>
  </w:endnote>
  <w:endnote w:type="continuationSeparator" w:id="1">
    <w:p w:rsidR="00D13B20" w:rsidRDefault="00D13B20" w:rsidP="006949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B20" w:rsidRDefault="00D13B20" w:rsidP="00694914">
      <w:pPr>
        <w:spacing w:line="240" w:lineRule="auto"/>
      </w:pPr>
      <w:r>
        <w:separator/>
      </w:r>
    </w:p>
  </w:footnote>
  <w:footnote w:type="continuationSeparator" w:id="1">
    <w:p w:rsidR="00D13B20" w:rsidRDefault="00D13B20" w:rsidP="0069491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72CC"/>
    <w:rsid w:val="00015252"/>
    <w:rsid w:val="00243BE7"/>
    <w:rsid w:val="00250B33"/>
    <w:rsid w:val="00252D1D"/>
    <w:rsid w:val="00573F33"/>
    <w:rsid w:val="00694914"/>
    <w:rsid w:val="007A639F"/>
    <w:rsid w:val="00974C69"/>
    <w:rsid w:val="00A13559"/>
    <w:rsid w:val="00B972CC"/>
    <w:rsid w:val="00D13B20"/>
    <w:rsid w:val="00FB2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559"/>
  </w:style>
  <w:style w:type="paragraph" w:styleId="1">
    <w:name w:val="heading 1"/>
    <w:basedOn w:val="normal"/>
    <w:next w:val="normal"/>
    <w:rsid w:val="00B972CC"/>
    <w:pPr>
      <w:keepNext/>
      <w:keepLines/>
      <w:spacing w:before="400" w:after="120"/>
      <w:outlineLvl w:val="0"/>
    </w:pPr>
    <w:rPr>
      <w:sz w:val="40"/>
      <w:szCs w:val="40"/>
    </w:rPr>
  </w:style>
  <w:style w:type="paragraph" w:styleId="2">
    <w:name w:val="heading 2"/>
    <w:basedOn w:val="normal"/>
    <w:next w:val="normal"/>
    <w:rsid w:val="00B972CC"/>
    <w:pPr>
      <w:keepNext/>
      <w:keepLines/>
      <w:spacing w:before="360" w:after="120"/>
      <w:outlineLvl w:val="1"/>
    </w:pPr>
    <w:rPr>
      <w:sz w:val="32"/>
      <w:szCs w:val="32"/>
    </w:rPr>
  </w:style>
  <w:style w:type="paragraph" w:styleId="3">
    <w:name w:val="heading 3"/>
    <w:basedOn w:val="normal"/>
    <w:next w:val="normal"/>
    <w:rsid w:val="00B972CC"/>
    <w:pPr>
      <w:keepNext/>
      <w:keepLines/>
      <w:spacing w:before="320" w:after="80"/>
      <w:outlineLvl w:val="2"/>
    </w:pPr>
    <w:rPr>
      <w:color w:val="434343"/>
      <w:sz w:val="28"/>
      <w:szCs w:val="28"/>
    </w:rPr>
  </w:style>
  <w:style w:type="paragraph" w:styleId="4">
    <w:name w:val="heading 4"/>
    <w:basedOn w:val="normal"/>
    <w:next w:val="normal"/>
    <w:rsid w:val="00B972CC"/>
    <w:pPr>
      <w:keepNext/>
      <w:keepLines/>
      <w:spacing w:before="280" w:after="80"/>
      <w:outlineLvl w:val="3"/>
    </w:pPr>
    <w:rPr>
      <w:color w:val="666666"/>
      <w:sz w:val="24"/>
      <w:szCs w:val="24"/>
    </w:rPr>
  </w:style>
  <w:style w:type="paragraph" w:styleId="5">
    <w:name w:val="heading 5"/>
    <w:basedOn w:val="normal"/>
    <w:next w:val="normal"/>
    <w:rsid w:val="00B972CC"/>
    <w:pPr>
      <w:keepNext/>
      <w:keepLines/>
      <w:spacing w:before="240" w:after="80"/>
      <w:outlineLvl w:val="4"/>
    </w:pPr>
    <w:rPr>
      <w:color w:val="666666"/>
    </w:rPr>
  </w:style>
  <w:style w:type="paragraph" w:styleId="6">
    <w:name w:val="heading 6"/>
    <w:basedOn w:val="normal"/>
    <w:next w:val="normal"/>
    <w:rsid w:val="00B972C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972CC"/>
  </w:style>
  <w:style w:type="table" w:customStyle="1" w:styleId="TableNormal">
    <w:name w:val="Table Normal"/>
    <w:rsid w:val="00B972CC"/>
    <w:tblPr>
      <w:tblCellMar>
        <w:top w:w="0" w:type="dxa"/>
        <w:left w:w="0" w:type="dxa"/>
        <w:bottom w:w="0" w:type="dxa"/>
        <w:right w:w="0" w:type="dxa"/>
      </w:tblCellMar>
    </w:tblPr>
  </w:style>
  <w:style w:type="paragraph" w:styleId="a3">
    <w:name w:val="Title"/>
    <w:basedOn w:val="normal"/>
    <w:next w:val="normal"/>
    <w:rsid w:val="00B972CC"/>
    <w:pPr>
      <w:keepNext/>
      <w:keepLines/>
      <w:spacing w:after="60"/>
    </w:pPr>
    <w:rPr>
      <w:sz w:val="52"/>
      <w:szCs w:val="52"/>
    </w:rPr>
  </w:style>
  <w:style w:type="paragraph" w:styleId="a4">
    <w:name w:val="Subtitle"/>
    <w:basedOn w:val="normal"/>
    <w:next w:val="normal"/>
    <w:rsid w:val="00B972CC"/>
    <w:pPr>
      <w:keepNext/>
      <w:keepLines/>
      <w:spacing w:after="320"/>
    </w:pPr>
    <w:rPr>
      <w:color w:val="666666"/>
      <w:sz w:val="30"/>
      <w:szCs w:val="30"/>
    </w:rPr>
  </w:style>
  <w:style w:type="table" w:customStyle="1" w:styleId="a5">
    <w:basedOn w:val="TableNormal"/>
    <w:rsid w:val="00B972CC"/>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semiHidden/>
    <w:unhideWhenUsed/>
    <w:rsid w:val="00694914"/>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694914"/>
  </w:style>
  <w:style w:type="paragraph" w:styleId="a8">
    <w:name w:val="footer"/>
    <w:basedOn w:val="a"/>
    <w:link w:val="a9"/>
    <w:uiPriority w:val="99"/>
    <w:semiHidden/>
    <w:unhideWhenUsed/>
    <w:rsid w:val="00694914"/>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6949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2024-02-04T08:45:00Z</cp:lastPrinted>
  <dcterms:created xsi:type="dcterms:W3CDTF">2024-02-04T09:22:00Z</dcterms:created>
  <dcterms:modified xsi:type="dcterms:W3CDTF">2024-02-04T09:22:00Z</dcterms:modified>
</cp:coreProperties>
</file>